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F5" w:rsidRPr="00394CF5" w:rsidRDefault="00394CF5" w:rsidP="00394CF5">
      <w:pPr>
        <w:jc w:val="right"/>
        <w:rPr>
          <w:b/>
          <w:sz w:val="24"/>
          <w:szCs w:val="24"/>
        </w:rPr>
      </w:pPr>
      <w:bookmarkStart w:id="0" w:name="_GoBack"/>
      <w:bookmarkEnd w:id="0"/>
      <w:r w:rsidRPr="00394CF5">
        <w:rPr>
          <w:b/>
          <w:sz w:val="24"/>
          <w:szCs w:val="24"/>
        </w:rPr>
        <w:t>EK-1</w:t>
      </w:r>
    </w:p>
    <w:p w:rsidR="00394CF5" w:rsidRDefault="00394CF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946"/>
      </w:tblGrid>
      <w:tr w:rsidR="00394CF5" w:rsidTr="00A3431D">
        <w:trPr>
          <w:trHeight w:val="765"/>
        </w:trPr>
        <w:tc>
          <w:tcPr>
            <w:tcW w:w="2518" w:type="dxa"/>
            <w:shd w:val="pct10" w:color="auto" w:fill="FFFFFF"/>
            <w:vAlign w:val="center"/>
          </w:tcPr>
          <w:p w:rsidR="00394CF5" w:rsidRDefault="00394CF5" w:rsidP="00394CF5">
            <w:pPr>
              <w:spacing w:before="120" w:after="120"/>
              <w:rPr>
                <w:b/>
              </w:rPr>
            </w:pPr>
            <w:r>
              <w:rPr>
                <w:b/>
              </w:rPr>
              <w:t>Okulun Adı</w:t>
            </w:r>
          </w:p>
        </w:tc>
        <w:tc>
          <w:tcPr>
            <w:tcW w:w="6946" w:type="dxa"/>
          </w:tcPr>
          <w:p w:rsidR="00394CF5" w:rsidRPr="00A3431D" w:rsidRDefault="00FC638E" w:rsidP="00A3431D">
            <w:pPr>
              <w:spacing w:before="120" w:after="120"/>
              <w:rPr>
                <w:rFonts w:ascii="Times New Roman" w:hAnsi="Times New Roman" w:cs="Times New Roman"/>
                <w:sz w:val="24"/>
              </w:rPr>
            </w:pPr>
            <w:r w:rsidRPr="00A3431D">
              <w:rPr>
                <w:rFonts w:ascii="Times New Roman" w:hAnsi="Times New Roman" w:cs="Times New Roman"/>
                <w:sz w:val="24"/>
              </w:rPr>
              <w:t>BORNOVA MESLEKİ TEKNİK VE ANADOLU LİSESİ</w:t>
            </w:r>
          </w:p>
        </w:tc>
      </w:tr>
      <w:tr w:rsidR="00394CF5" w:rsidTr="00A3431D">
        <w:trPr>
          <w:trHeight w:val="845"/>
        </w:trPr>
        <w:tc>
          <w:tcPr>
            <w:tcW w:w="2518" w:type="dxa"/>
            <w:shd w:val="pct10" w:color="auto" w:fill="FFFFFF"/>
            <w:vAlign w:val="center"/>
          </w:tcPr>
          <w:p w:rsidR="00394CF5" w:rsidRDefault="00394CF5" w:rsidP="00394CF5">
            <w:pPr>
              <w:spacing w:before="120" w:after="120"/>
              <w:rPr>
                <w:b/>
              </w:rPr>
            </w:pPr>
            <w:r>
              <w:rPr>
                <w:b/>
              </w:rPr>
              <w:t>Projenin Adı</w:t>
            </w:r>
          </w:p>
        </w:tc>
        <w:tc>
          <w:tcPr>
            <w:tcW w:w="6946" w:type="dxa"/>
          </w:tcPr>
          <w:p w:rsidR="00394CF5" w:rsidRPr="00A3431D" w:rsidRDefault="00FC638E" w:rsidP="00A3431D">
            <w:pPr>
              <w:spacing w:before="120" w:after="120"/>
              <w:rPr>
                <w:rFonts w:ascii="Times New Roman" w:hAnsi="Times New Roman" w:cs="Times New Roman"/>
                <w:sz w:val="24"/>
              </w:rPr>
            </w:pPr>
            <w:r w:rsidRPr="00A3431D">
              <w:rPr>
                <w:rFonts w:ascii="Times New Roman" w:hAnsi="Times New Roman" w:cs="Times New Roman"/>
                <w:sz w:val="24"/>
              </w:rPr>
              <w:t>OKULÖNCESİ EĞİTİMDE İNAVASYON</w:t>
            </w:r>
            <w:r w:rsidR="009370CA" w:rsidRPr="00A3431D">
              <w:rPr>
                <w:rFonts w:ascii="Times New Roman" w:hAnsi="Times New Roman" w:cs="Times New Roman"/>
                <w:sz w:val="24"/>
              </w:rPr>
              <w:t>A DAYALI AB ÖRNEKLERİ</w:t>
            </w:r>
          </w:p>
        </w:tc>
      </w:tr>
      <w:tr w:rsidR="00394CF5" w:rsidTr="00A3431D">
        <w:trPr>
          <w:trHeight w:val="830"/>
        </w:trPr>
        <w:tc>
          <w:tcPr>
            <w:tcW w:w="2518" w:type="dxa"/>
            <w:shd w:val="pct10" w:color="auto" w:fill="FFFFFF"/>
            <w:vAlign w:val="center"/>
          </w:tcPr>
          <w:p w:rsidR="00394CF5" w:rsidRDefault="00394CF5" w:rsidP="00394CF5">
            <w:pPr>
              <w:spacing w:before="120" w:after="120"/>
              <w:rPr>
                <w:b/>
              </w:rPr>
            </w:pPr>
            <w:r>
              <w:rPr>
                <w:b/>
              </w:rPr>
              <w:t>Koordinatör Kurum</w:t>
            </w:r>
          </w:p>
        </w:tc>
        <w:tc>
          <w:tcPr>
            <w:tcW w:w="6946" w:type="dxa"/>
          </w:tcPr>
          <w:p w:rsidR="00394CF5" w:rsidRPr="00A3431D" w:rsidRDefault="009370CA" w:rsidP="00A3431D">
            <w:pPr>
              <w:spacing w:before="120" w:after="120"/>
              <w:rPr>
                <w:rFonts w:ascii="Times New Roman" w:hAnsi="Times New Roman" w:cs="Times New Roman"/>
                <w:sz w:val="24"/>
              </w:rPr>
            </w:pPr>
            <w:r w:rsidRPr="00A3431D">
              <w:rPr>
                <w:rFonts w:ascii="Times New Roman" w:hAnsi="Times New Roman" w:cs="Times New Roman"/>
                <w:sz w:val="24"/>
              </w:rPr>
              <w:t>BORNOVA MESLEKİ TEKNİK VE ANADOLU LİSESİ</w:t>
            </w:r>
          </w:p>
        </w:tc>
      </w:tr>
      <w:tr w:rsidR="00394CF5" w:rsidTr="00A3431D">
        <w:tc>
          <w:tcPr>
            <w:tcW w:w="2518" w:type="dxa"/>
            <w:shd w:val="pct10" w:color="auto" w:fill="FFFFFF"/>
            <w:vAlign w:val="center"/>
          </w:tcPr>
          <w:p w:rsidR="00394CF5" w:rsidRDefault="00394CF5" w:rsidP="00394CF5">
            <w:pPr>
              <w:spacing w:before="120" w:after="120"/>
              <w:rPr>
                <w:b/>
              </w:rPr>
            </w:pPr>
            <w:r>
              <w:rPr>
                <w:b/>
              </w:rPr>
              <w:t>Destekleyen kurum (Ulusal Ajans veya AB Komisyonu)</w:t>
            </w:r>
          </w:p>
        </w:tc>
        <w:tc>
          <w:tcPr>
            <w:tcW w:w="6946" w:type="dxa"/>
          </w:tcPr>
          <w:p w:rsidR="00394CF5" w:rsidRPr="00A3431D" w:rsidRDefault="009370CA" w:rsidP="00A3431D">
            <w:pPr>
              <w:spacing w:before="120" w:after="120"/>
              <w:rPr>
                <w:rFonts w:ascii="Times New Roman" w:hAnsi="Times New Roman" w:cs="Times New Roman"/>
                <w:sz w:val="24"/>
              </w:rPr>
            </w:pPr>
            <w:r w:rsidRPr="00A3431D">
              <w:rPr>
                <w:rFonts w:ascii="Times New Roman" w:hAnsi="Times New Roman" w:cs="Times New Roman"/>
                <w:sz w:val="24"/>
              </w:rPr>
              <w:t xml:space="preserve">TÜRKİYA </w:t>
            </w:r>
            <w:r w:rsidR="00FC638E" w:rsidRPr="00A3431D">
              <w:rPr>
                <w:rFonts w:ascii="Times New Roman" w:hAnsi="Times New Roman" w:cs="Times New Roman"/>
                <w:sz w:val="24"/>
              </w:rPr>
              <w:t>ULUSAL AJANS</w:t>
            </w:r>
            <w:r w:rsidR="00A3431D" w:rsidRPr="00A3431D">
              <w:rPr>
                <w:rFonts w:ascii="Times New Roman" w:hAnsi="Times New Roman" w:cs="Times New Roman"/>
                <w:sz w:val="24"/>
              </w:rPr>
              <w:t>I</w:t>
            </w:r>
          </w:p>
        </w:tc>
      </w:tr>
      <w:tr w:rsidR="00394CF5" w:rsidTr="00A3431D">
        <w:trPr>
          <w:trHeight w:val="871"/>
        </w:trPr>
        <w:tc>
          <w:tcPr>
            <w:tcW w:w="2518" w:type="dxa"/>
            <w:shd w:val="pct10" w:color="auto" w:fill="FFFFFF"/>
            <w:vAlign w:val="center"/>
          </w:tcPr>
          <w:p w:rsidR="00394CF5" w:rsidRDefault="00394CF5" w:rsidP="00394CF5">
            <w:pPr>
              <w:spacing w:before="120" w:after="120"/>
              <w:rPr>
                <w:b/>
              </w:rPr>
            </w:pPr>
            <w:r>
              <w:rPr>
                <w:b/>
              </w:rPr>
              <w:t>Ortak(</w:t>
            </w:r>
            <w:proofErr w:type="spellStart"/>
            <w:r>
              <w:rPr>
                <w:b/>
              </w:rPr>
              <w:t>lar</w:t>
            </w:r>
            <w:proofErr w:type="spellEnd"/>
            <w:r>
              <w:rPr>
                <w:b/>
              </w:rPr>
              <w:t xml:space="preserve">) </w:t>
            </w:r>
          </w:p>
        </w:tc>
        <w:tc>
          <w:tcPr>
            <w:tcW w:w="6946" w:type="dxa"/>
          </w:tcPr>
          <w:p w:rsidR="00394CF5" w:rsidRPr="00A3431D" w:rsidRDefault="00A3431D" w:rsidP="00A3431D">
            <w:pPr>
              <w:spacing w:before="120" w:after="120"/>
              <w:rPr>
                <w:rFonts w:ascii="Times New Roman" w:hAnsi="Times New Roman" w:cs="Times New Roman"/>
              </w:rPr>
            </w:pPr>
            <w:r w:rsidRPr="00A3431D">
              <w:rPr>
                <w:rFonts w:ascii="Times New Roman" w:hAnsi="Times New Roman" w:cs="Times New Roman"/>
              </w:rPr>
              <w:t>ANTALYA MANAVGAT MESLEKİ VE TEKNİK ANADOLU LİSESİ</w:t>
            </w:r>
          </w:p>
          <w:p w:rsidR="00A3431D" w:rsidRPr="00A3431D" w:rsidRDefault="00A3431D" w:rsidP="00A3431D">
            <w:pPr>
              <w:spacing w:before="120" w:after="120"/>
              <w:rPr>
                <w:rFonts w:ascii="Times New Roman" w:hAnsi="Times New Roman" w:cs="Times New Roman"/>
              </w:rPr>
            </w:pPr>
            <w:r w:rsidRPr="00A3431D">
              <w:rPr>
                <w:rFonts w:ascii="Times New Roman" w:hAnsi="Times New Roman" w:cs="Times New Roman"/>
              </w:rPr>
              <w:t>ERZURUM ÇAT ÇOK PROGRAMLI ANADOLU LİSESİ</w:t>
            </w:r>
          </w:p>
          <w:p w:rsidR="00A3431D" w:rsidRPr="00A3431D" w:rsidRDefault="00A3431D" w:rsidP="00A3431D">
            <w:pPr>
              <w:spacing w:before="120" w:after="120"/>
              <w:rPr>
                <w:rFonts w:ascii="Times New Roman" w:hAnsi="Times New Roman" w:cs="Times New Roman"/>
                <w:sz w:val="24"/>
              </w:rPr>
            </w:pPr>
            <w:r w:rsidRPr="00A3431D">
              <w:rPr>
                <w:rFonts w:ascii="Times New Roman" w:hAnsi="Times New Roman" w:cs="Times New Roman"/>
              </w:rPr>
              <w:t>YOZGAT SORGUN ÇİĞDEMLİ ÇOK PROGRAMLI ANADOLU LİSESİ</w:t>
            </w:r>
          </w:p>
        </w:tc>
      </w:tr>
      <w:tr w:rsidR="00394CF5" w:rsidTr="00A3431D">
        <w:trPr>
          <w:trHeight w:val="969"/>
        </w:trPr>
        <w:tc>
          <w:tcPr>
            <w:tcW w:w="2518" w:type="dxa"/>
            <w:shd w:val="pct10" w:color="auto" w:fill="FFFFFF"/>
            <w:vAlign w:val="center"/>
          </w:tcPr>
          <w:p w:rsidR="00394CF5" w:rsidRDefault="00394CF5" w:rsidP="00394CF5">
            <w:pPr>
              <w:spacing w:before="120" w:after="120"/>
              <w:rPr>
                <w:b/>
              </w:rPr>
            </w:pPr>
            <w:r>
              <w:rPr>
                <w:b/>
              </w:rPr>
              <w:t>Projenin Süresi</w:t>
            </w:r>
          </w:p>
        </w:tc>
        <w:tc>
          <w:tcPr>
            <w:tcW w:w="6946" w:type="dxa"/>
          </w:tcPr>
          <w:p w:rsidR="00394CF5" w:rsidRPr="00A3431D" w:rsidRDefault="00FC638E" w:rsidP="00A3431D">
            <w:pPr>
              <w:spacing w:before="120" w:after="120"/>
              <w:rPr>
                <w:rFonts w:ascii="Times New Roman" w:hAnsi="Times New Roman" w:cs="Times New Roman"/>
                <w:sz w:val="24"/>
              </w:rPr>
            </w:pPr>
            <w:r w:rsidRPr="00A3431D">
              <w:rPr>
                <w:rFonts w:ascii="Times New Roman" w:hAnsi="Times New Roman" w:cs="Times New Roman"/>
                <w:sz w:val="24"/>
              </w:rPr>
              <w:t>12 AY</w:t>
            </w:r>
          </w:p>
        </w:tc>
      </w:tr>
      <w:tr w:rsidR="00394CF5" w:rsidTr="00A3431D">
        <w:trPr>
          <w:trHeight w:val="855"/>
        </w:trPr>
        <w:tc>
          <w:tcPr>
            <w:tcW w:w="2518" w:type="dxa"/>
            <w:shd w:val="pct10" w:color="auto" w:fill="FFFFFF"/>
            <w:vAlign w:val="center"/>
          </w:tcPr>
          <w:p w:rsidR="00394CF5" w:rsidRDefault="00394CF5" w:rsidP="00394CF5">
            <w:pPr>
              <w:spacing w:before="120" w:after="120"/>
              <w:rPr>
                <w:b/>
              </w:rPr>
            </w:pPr>
            <w:r>
              <w:rPr>
                <w:b/>
              </w:rPr>
              <w:t>Projenin Hedefleri</w:t>
            </w:r>
          </w:p>
        </w:tc>
        <w:tc>
          <w:tcPr>
            <w:tcW w:w="6946" w:type="dxa"/>
          </w:tcPr>
          <w:p w:rsidR="00A3431D" w:rsidRPr="00A3431D" w:rsidRDefault="00A3431D" w:rsidP="00A3431D">
            <w:pPr>
              <w:spacing w:after="0" w:line="240" w:lineRule="auto"/>
              <w:jc w:val="both"/>
            </w:pPr>
            <w:r w:rsidRPr="00A3431D">
              <w:t>1- "Okul öncesi eğitimde yenilikçi uygulamaları meslek lisesi öğrencilerimize uygulamalı olarak yaparak yaşayarak öğrenme modeliyle öğrenmelerini sağlamak ve bu yenilikçi uygulamaları öncelikli olarak okullarımızda sonra bölgemizde ve uzun vadede ülkemizde uygulamaya çalışmak,</w:t>
            </w:r>
          </w:p>
          <w:p w:rsidR="00A3431D" w:rsidRPr="00A3431D" w:rsidRDefault="00A3431D" w:rsidP="00A3431D">
            <w:pPr>
              <w:spacing w:after="0" w:line="240" w:lineRule="auto"/>
              <w:jc w:val="both"/>
            </w:pPr>
            <w:r w:rsidRPr="00A3431D">
              <w:t xml:space="preserve">2- Okul Öncesi Eğitimde Avrupa Ülkelerinde </w:t>
            </w:r>
            <w:proofErr w:type="spellStart"/>
            <w:r w:rsidRPr="00A3431D">
              <w:t>İnovasyona</w:t>
            </w:r>
            <w:proofErr w:type="spellEnd"/>
            <w:r w:rsidRPr="00A3431D">
              <w:t xml:space="preserve"> dayalı Yenilikçi uygulamaları katılımcılar eliyle Türkiye’ye transfer etmek,</w:t>
            </w:r>
          </w:p>
          <w:p w:rsidR="00A3431D" w:rsidRPr="00A3431D" w:rsidRDefault="00A3431D" w:rsidP="00A3431D">
            <w:pPr>
              <w:spacing w:after="0" w:line="240" w:lineRule="auto"/>
              <w:jc w:val="both"/>
            </w:pPr>
            <w:r w:rsidRPr="00A3431D">
              <w:t>3- Mesleki eğitim öğrencilerinin hareketliliğini bünyesinde barındıran projemizde Avrupa hareketliliği ile katılımcıların, kişisel gelişimlerini ve yurtdışı mesleki deneyimlerini arttırmak ve mesleklerinde yeni ufuklar elde etmelerine katkı sağlamak,</w:t>
            </w:r>
          </w:p>
          <w:p w:rsidR="00A3431D" w:rsidRPr="00A3431D" w:rsidRDefault="00A3431D" w:rsidP="00A3431D">
            <w:pPr>
              <w:spacing w:after="0" w:line="240" w:lineRule="auto"/>
              <w:jc w:val="both"/>
            </w:pPr>
            <w:r w:rsidRPr="00A3431D">
              <w:t>4- Proje yurt içi ortağı okulların, yurtdışındaki okullarla olan bağlarını güçlendirmek,</w:t>
            </w:r>
          </w:p>
          <w:p w:rsidR="00A3431D" w:rsidRPr="00A3431D" w:rsidRDefault="00A3431D" w:rsidP="00A3431D">
            <w:pPr>
              <w:spacing w:after="0" w:line="240" w:lineRule="auto"/>
              <w:jc w:val="both"/>
            </w:pPr>
            <w:r w:rsidRPr="00A3431D">
              <w:t>5- Katılımcı öğrencilerin öz güven duygularını geliştirerek, meslek alanlarına motive etmek,</w:t>
            </w:r>
          </w:p>
          <w:p w:rsidR="00A3431D" w:rsidRPr="00A3431D" w:rsidRDefault="00A3431D" w:rsidP="00A3431D">
            <w:pPr>
              <w:spacing w:after="0" w:line="240" w:lineRule="auto"/>
              <w:jc w:val="both"/>
            </w:pPr>
            <w:r w:rsidRPr="00A3431D">
              <w:t>6- Katılımcıların genel ve mesleki yabancı dil yeterliliklerini geliştirmek,</w:t>
            </w:r>
          </w:p>
          <w:p w:rsidR="00A3431D" w:rsidRPr="00A3431D" w:rsidRDefault="00A3431D" w:rsidP="00A3431D">
            <w:pPr>
              <w:spacing w:after="0" w:line="240" w:lineRule="auto"/>
              <w:jc w:val="both"/>
            </w:pPr>
            <w:r w:rsidRPr="00A3431D">
              <w:t xml:space="preserve">7-Avrupa ülkelerindeki </w:t>
            </w:r>
            <w:proofErr w:type="spellStart"/>
            <w:proofErr w:type="gramStart"/>
            <w:r w:rsidRPr="00A3431D">
              <w:t>din,dil</w:t>
            </w:r>
            <w:proofErr w:type="gramEnd"/>
            <w:r w:rsidRPr="00A3431D">
              <w:t>,sosyal</w:t>
            </w:r>
            <w:proofErr w:type="spellEnd"/>
            <w:r w:rsidRPr="00A3431D">
              <w:t xml:space="preserve"> ve kültürel hayatın öğrencilerimiz tarafından yerinde görülmesini </w:t>
            </w:r>
            <w:proofErr w:type="spellStart"/>
            <w:r w:rsidRPr="00A3431D">
              <w:t>sağlamak,ortak</w:t>
            </w:r>
            <w:proofErr w:type="spellEnd"/>
            <w:r w:rsidRPr="00A3431D">
              <w:t xml:space="preserve"> Avrupa vatandaşı bilincini yerleştirmek,</w:t>
            </w:r>
          </w:p>
          <w:p w:rsidR="00394CF5" w:rsidRPr="00A3431D" w:rsidRDefault="00A3431D" w:rsidP="00A3431D">
            <w:pPr>
              <w:spacing w:after="0" w:line="240" w:lineRule="auto"/>
              <w:jc w:val="both"/>
            </w:pPr>
            <w:r w:rsidRPr="00A3431D">
              <w:t xml:space="preserve">8-Öğrencilerimizin birlikte yaşama ve ortak hareket </w:t>
            </w:r>
            <w:proofErr w:type="spellStart"/>
            <w:proofErr w:type="gramStart"/>
            <w:r w:rsidRPr="00A3431D">
              <w:t>etme,kendine</w:t>
            </w:r>
            <w:proofErr w:type="spellEnd"/>
            <w:proofErr w:type="gramEnd"/>
            <w:r w:rsidRPr="00A3431D">
              <w:t xml:space="preserve"> </w:t>
            </w:r>
            <w:proofErr w:type="spellStart"/>
            <w:r w:rsidRPr="00A3431D">
              <w:t>güven,grup</w:t>
            </w:r>
            <w:proofErr w:type="spellEnd"/>
            <w:r w:rsidRPr="00A3431D">
              <w:t xml:space="preserve"> </w:t>
            </w:r>
            <w:proofErr w:type="spellStart"/>
            <w:r w:rsidRPr="00A3431D">
              <w:t>çalışması,farklı</w:t>
            </w:r>
            <w:proofErr w:type="spellEnd"/>
            <w:r w:rsidRPr="00A3431D">
              <w:t xml:space="preserve"> fikirlere saygı gibi kişisel gelişimlerini sağlamak.</w:t>
            </w:r>
          </w:p>
        </w:tc>
      </w:tr>
      <w:tr w:rsidR="00394CF5" w:rsidTr="00A3431D">
        <w:trPr>
          <w:trHeight w:val="683"/>
        </w:trPr>
        <w:tc>
          <w:tcPr>
            <w:tcW w:w="2518" w:type="dxa"/>
            <w:shd w:val="pct10" w:color="auto" w:fill="FFFFFF"/>
            <w:vAlign w:val="center"/>
          </w:tcPr>
          <w:p w:rsidR="00394CF5" w:rsidRDefault="00394CF5" w:rsidP="00394CF5">
            <w:pPr>
              <w:spacing w:before="120" w:after="120"/>
              <w:rPr>
                <w:b/>
              </w:rPr>
            </w:pPr>
            <w:r>
              <w:rPr>
                <w:b/>
              </w:rPr>
              <w:t>Hedef Grup(</w:t>
            </w:r>
            <w:proofErr w:type="spellStart"/>
            <w:r>
              <w:rPr>
                <w:b/>
              </w:rPr>
              <w:t>lar</w:t>
            </w:r>
            <w:proofErr w:type="spellEnd"/>
            <w:r>
              <w:rPr>
                <w:b/>
              </w:rPr>
              <w:t>)</w:t>
            </w:r>
          </w:p>
        </w:tc>
        <w:tc>
          <w:tcPr>
            <w:tcW w:w="6946" w:type="dxa"/>
          </w:tcPr>
          <w:p w:rsidR="00394CF5" w:rsidRPr="00A3431D" w:rsidRDefault="00A3431D" w:rsidP="00392FC7">
            <w:pPr>
              <w:spacing w:before="120" w:after="120"/>
            </w:pPr>
            <w:r w:rsidRPr="00A3431D">
              <w:t xml:space="preserve">Okulumuz ve diğer yurt içi ortak kurumların “ Çocuk Gelişimi ve </w:t>
            </w:r>
            <w:proofErr w:type="spellStart"/>
            <w:r w:rsidRPr="00A3431D">
              <w:t>Eğitimié</w:t>
            </w:r>
            <w:proofErr w:type="spellEnd"/>
            <w:r w:rsidRPr="00A3431D">
              <w:t xml:space="preserve"> bölüm öğrencilerinden 60 kişi.</w:t>
            </w:r>
          </w:p>
        </w:tc>
      </w:tr>
      <w:tr w:rsidR="00394CF5" w:rsidTr="00A3431D">
        <w:trPr>
          <w:trHeight w:val="849"/>
        </w:trPr>
        <w:tc>
          <w:tcPr>
            <w:tcW w:w="2518" w:type="dxa"/>
            <w:shd w:val="pct10" w:color="auto" w:fill="FFFFFF"/>
            <w:vAlign w:val="center"/>
          </w:tcPr>
          <w:p w:rsidR="00394CF5" w:rsidRDefault="00394CF5" w:rsidP="00394CF5">
            <w:pPr>
              <w:spacing w:before="120" w:after="120"/>
              <w:rPr>
                <w:b/>
              </w:rPr>
            </w:pPr>
            <w:r>
              <w:rPr>
                <w:b/>
              </w:rPr>
              <w:lastRenderedPageBreak/>
              <w:t>Beklenen Sonuçlar</w:t>
            </w:r>
          </w:p>
        </w:tc>
        <w:tc>
          <w:tcPr>
            <w:tcW w:w="6946" w:type="dxa"/>
          </w:tcPr>
          <w:p w:rsidR="00A3431D" w:rsidRDefault="00A3431D" w:rsidP="00A3431D">
            <w:pPr>
              <w:spacing w:after="0" w:line="240" w:lineRule="auto"/>
              <w:jc w:val="both"/>
            </w:pPr>
            <w:r>
              <w:t xml:space="preserve">1) Okul Öncesi Eğitimin çocuk gelişim bölümünde öğrenim gören meslek lisesi öğrencilerinin; Mesleki bilgi, beceri, deneyim ve tecrübelerinin geliştirmeleri, AB ülkelerinde okul öncesi eğitim kurumlarının fiziki yapıları, okul öncesi eğitim sistemleri, okul öncesi eğitimde kullanılan teknik, yöntem ve metotları, kullanılan araç-gereçleri, çalışan personel ve öğretmenlerin iş ahlakı, personel ve öğretmenlerin çalışma koşulları, okul öncesi eğitimde uygulanan çoklu </w:t>
            </w:r>
            <w:proofErr w:type="gramStart"/>
            <w:r>
              <w:t>zeka</w:t>
            </w:r>
            <w:proofErr w:type="gramEnd"/>
            <w:r>
              <w:t xml:space="preserve"> kuramı uygulamalarını inceleme, uygulamaları yerinde görme ve iyi örneklerin ülkemize transferi sağlanacak,</w:t>
            </w:r>
          </w:p>
          <w:p w:rsidR="00A3431D" w:rsidRDefault="00A3431D" w:rsidP="00A3431D">
            <w:pPr>
              <w:spacing w:after="0" w:line="240" w:lineRule="auto"/>
              <w:jc w:val="both"/>
            </w:pPr>
            <w:r>
              <w:t xml:space="preserve">2) Okul Öncesi Eğitimde Avrupa Ülkelerinde </w:t>
            </w:r>
            <w:proofErr w:type="spellStart"/>
            <w:r>
              <w:t>İnovasyona</w:t>
            </w:r>
            <w:proofErr w:type="spellEnd"/>
            <w:r>
              <w:t xml:space="preserve"> dayalı Yenilikçi uygulamaları katılımcılar eliyle Türkiye’ye transferi gerçekleşecek,</w:t>
            </w:r>
          </w:p>
          <w:p w:rsidR="00A3431D" w:rsidRDefault="00A3431D" w:rsidP="00A3431D">
            <w:pPr>
              <w:spacing w:after="0" w:line="240" w:lineRule="auto"/>
              <w:jc w:val="both"/>
            </w:pPr>
            <w:r>
              <w:t>3) Okul öncesi eğitimde yenilikçi uygulamaları meslek lisesi öğrencilerimize yaparak yaşayarak öğrenme modeliyle öğrenmelerini sağlanacak,</w:t>
            </w:r>
          </w:p>
          <w:p w:rsidR="00A3431D" w:rsidRDefault="00A3431D" w:rsidP="00A3431D">
            <w:pPr>
              <w:spacing w:after="0" w:line="240" w:lineRule="auto"/>
              <w:jc w:val="both"/>
            </w:pPr>
            <w:r>
              <w:t>4) Mesleki eğitim öğrencilerinin hareketliliğini bünyesinde barındıran projemizde Avrupa hareketliliği ile katılımcıların, kişisel gelişimler ve yurtdışı mesleki deneyimleri artacak,</w:t>
            </w:r>
          </w:p>
          <w:p w:rsidR="00A3431D" w:rsidRDefault="00A3431D" w:rsidP="00A3431D">
            <w:pPr>
              <w:spacing w:after="0" w:line="240" w:lineRule="auto"/>
              <w:jc w:val="both"/>
            </w:pPr>
            <w:r>
              <w:t>5) İstihdam dışında kalma riski taşıyan katılımcı öğrenciler istihdama dâhil edilecek,</w:t>
            </w:r>
          </w:p>
          <w:p w:rsidR="00A3431D" w:rsidRDefault="00A3431D" w:rsidP="00A3431D">
            <w:pPr>
              <w:spacing w:after="0" w:line="240" w:lineRule="auto"/>
              <w:jc w:val="both"/>
            </w:pPr>
            <w:r>
              <w:t xml:space="preserve">6) Avrupa ülkelerindeki </w:t>
            </w:r>
            <w:proofErr w:type="spellStart"/>
            <w:proofErr w:type="gramStart"/>
            <w:r>
              <w:t>din,dil</w:t>
            </w:r>
            <w:proofErr w:type="gramEnd"/>
            <w:r>
              <w:t>,sosyal</w:t>
            </w:r>
            <w:proofErr w:type="spellEnd"/>
            <w:r>
              <w:t xml:space="preserve"> ve kültürel hayatın öğrencilerimiz tarafından yerinde görülmesi ile sosyal çevreleri genişleyecek,</w:t>
            </w:r>
          </w:p>
          <w:p w:rsidR="00A3431D" w:rsidRDefault="00A3431D" w:rsidP="00A3431D">
            <w:pPr>
              <w:spacing w:after="0" w:line="240" w:lineRule="auto"/>
              <w:jc w:val="both"/>
            </w:pPr>
            <w:r>
              <w:t>7 )Katılımcı öğrencilerin öz güven duyguları gelişecek,</w:t>
            </w:r>
          </w:p>
          <w:p w:rsidR="00A3431D" w:rsidRDefault="00A3431D" w:rsidP="00A3431D">
            <w:pPr>
              <w:spacing w:after="0" w:line="240" w:lineRule="auto"/>
              <w:jc w:val="both"/>
            </w:pPr>
            <w:r>
              <w:t>8) Katılımcıların genel ve mesleki yabancı dil yeterliliklerini gelişecek,</w:t>
            </w:r>
          </w:p>
          <w:p w:rsidR="00A3431D" w:rsidRDefault="00A3431D" w:rsidP="00A3431D">
            <w:pPr>
              <w:spacing w:after="0" w:line="240" w:lineRule="auto"/>
              <w:jc w:val="both"/>
            </w:pPr>
            <w:r>
              <w:t>9) Katılımcıların mesleki kariyerlerinde yeni ufuklar elde etmeleri sağlanacak,</w:t>
            </w:r>
          </w:p>
          <w:p w:rsidR="00394CF5" w:rsidRPr="00B7152D" w:rsidRDefault="00A3431D" w:rsidP="00A3431D">
            <w:pPr>
              <w:spacing w:after="0" w:line="240" w:lineRule="auto"/>
              <w:jc w:val="both"/>
            </w:pPr>
            <w:r>
              <w:t xml:space="preserve">10) Katılımcılarımız, birlikte yaşama ve ortak hareket etme, kendilerine güven, grup çalışmalarına </w:t>
            </w:r>
            <w:proofErr w:type="spellStart"/>
            <w:proofErr w:type="gramStart"/>
            <w:r>
              <w:t>katılma,farklı</w:t>
            </w:r>
            <w:proofErr w:type="spellEnd"/>
            <w:proofErr w:type="gramEnd"/>
            <w:r>
              <w:t xml:space="preserve"> fikirlere saygı gibi kişisel gelişimleri gelişecek,</w:t>
            </w:r>
          </w:p>
        </w:tc>
      </w:tr>
      <w:tr w:rsidR="00394CF5" w:rsidTr="00A3431D">
        <w:trPr>
          <w:trHeight w:val="833"/>
        </w:trPr>
        <w:tc>
          <w:tcPr>
            <w:tcW w:w="2518" w:type="dxa"/>
            <w:shd w:val="pct10" w:color="auto" w:fill="FFFFFF"/>
            <w:vAlign w:val="center"/>
          </w:tcPr>
          <w:p w:rsidR="00394CF5" w:rsidRDefault="00394CF5" w:rsidP="00394CF5">
            <w:pPr>
              <w:spacing w:before="120" w:after="120"/>
              <w:rPr>
                <w:b/>
              </w:rPr>
            </w:pPr>
            <w:r>
              <w:rPr>
                <w:b/>
              </w:rPr>
              <w:t>Temel Faaliyetler</w:t>
            </w:r>
          </w:p>
        </w:tc>
        <w:tc>
          <w:tcPr>
            <w:tcW w:w="6946" w:type="dxa"/>
          </w:tcPr>
          <w:p w:rsidR="00A3431D" w:rsidRDefault="002C4E00" w:rsidP="00C52A94">
            <w:pPr>
              <w:rPr>
                <w:highlight w:val="yellow"/>
              </w:rPr>
            </w:pPr>
            <w:r w:rsidRPr="00713D7D">
              <w:t xml:space="preserve">Katılımcı öğrencilerimiz, </w:t>
            </w:r>
            <w:r w:rsidR="00A3431D" w:rsidRPr="00713D7D">
              <w:t xml:space="preserve">Avrupa ülkelerinde  </w:t>
            </w:r>
            <w:r w:rsidRPr="00713D7D">
              <w:t>(Almanya, Avusturya, Macaristan, Çek Cumhuriyeti ve Danimarka) 2 haftalık mesleki eğitim faaliyetlerine katılacak</w:t>
            </w:r>
            <w:r w:rsidR="00C52A94" w:rsidRPr="00713D7D">
              <w:t>lardır.</w:t>
            </w:r>
          </w:p>
        </w:tc>
      </w:tr>
    </w:tbl>
    <w:p w:rsidR="00911CAA" w:rsidRDefault="00911CAA"/>
    <w:sectPr w:rsidR="00911C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1F" w:rsidRDefault="0090741F" w:rsidP="004A5F03">
      <w:pPr>
        <w:spacing w:after="0" w:line="240" w:lineRule="auto"/>
      </w:pPr>
      <w:r>
        <w:separator/>
      </w:r>
    </w:p>
  </w:endnote>
  <w:endnote w:type="continuationSeparator" w:id="0">
    <w:p w:rsidR="0090741F" w:rsidRDefault="0090741F" w:rsidP="004A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1F" w:rsidRDefault="0090741F" w:rsidP="004A5F03">
      <w:pPr>
        <w:spacing w:after="0" w:line="240" w:lineRule="auto"/>
      </w:pPr>
      <w:r>
        <w:separator/>
      </w:r>
    </w:p>
  </w:footnote>
  <w:footnote w:type="continuationSeparator" w:id="0">
    <w:p w:rsidR="0090741F" w:rsidRDefault="0090741F" w:rsidP="004A5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899"/>
    <w:multiLevelType w:val="multilevel"/>
    <w:tmpl w:val="DC7E8530"/>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187F7613"/>
    <w:multiLevelType w:val="multilevel"/>
    <w:tmpl w:val="BA8C3234"/>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3E7A20EB"/>
    <w:multiLevelType w:val="hybridMultilevel"/>
    <w:tmpl w:val="DB6679C6"/>
    <w:lvl w:ilvl="0" w:tplc="CA54A62E">
      <w:numFmt w:val="bullet"/>
      <w:lvlText w:val="-"/>
      <w:lvlJc w:val="left"/>
      <w:pPr>
        <w:tabs>
          <w:tab w:val="num" w:pos="360"/>
        </w:tabs>
        <w:ind w:left="360" w:hanging="360"/>
      </w:pPr>
      <w:rPr>
        <w:rFonts w:ascii="Arial" w:eastAsia="Times New Roman"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7E9E4411"/>
    <w:multiLevelType w:val="hybridMultilevel"/>
    <w:tmpl w:val="44E4671C"/>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AA"/>
    <w:rsid w:val="000B283F"/>
    <w:rsid w:val="002C4E00"/>
    <w:rsid w:val="002D180B"/>
    <w:rsid w:val="00394CF5"/>
    <w:rsid w:val="00445A56"/>
    <w:rsid w:val="004A5F03"/>
    <w:rsid w:val="005B7C43"/>
    <w:rsid w:val="006C6B8B"/>
    <w:rsid w:val="00713D7D"/>
    <w:rsid w:val="0090741F"/>
    <w:rsid w:val="00911CAA"/>
    <w:rsid w:val="009370CA"/>
    <w:rsid w:val="009D4160"/>
    <w:rsid w:val="00A3431D"/>
    <w:rsid w:val="00A56B69"/>
    <w:rsid w:val="00B52F5B"/>
    <w:rsid w:val="00C32AB0"/>
    <w:rsid w:val="00C52A94"/>
    <w:rsid w:val="00E718D6"/>
    <w:rsid w:val="00F70E34"/>
    <w:rsid w:val="00FA36E5"/>
    <w:rsid w:val="00FC6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4A5F03"/>
    <w:rPr>
      <w:rFonts w:ascii="Times New Roman" w:hAnsi="Times New Roman"/>
      <w:noProof w:val="0"/>
      <w:sz w:val="27"/>
      <w:vertAlign w:val="superscript"/>
      <w:lang w:val="en-US"/>
    </w:rPr>
  </w:style>
  <w:style w:type="paragraph" w:styleId="DipnotMetni">
    <w:name w:val="footnote text"/>
    <w:basedOn w:val="Normal"/>
    <w:link w:val="DipnotMetniChar"/>
    <w:semiHidden/>
    <w:rsid w:val="004A5F03"/>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rPr>
  </w:style>
  <w:style w:type="character" w:customStyle="1" w:styleId="DipnotMetniChar">
    <w:name w:val="Dipnot Metni Char"/>
    <w:basedOn w:val="VarsaylanParagrafYazTipi"/>
    <w:link w:val="DipnotMetni"/>
    <w:semiHidden/>
    <w:rsid w:val="004A5F03"/>
    <w:rPr>
      <w:rFonts w:ascii="Times New Roman" w:eastAsia="Times New Roman" w:hAnsi="Times New Roman" w:cs="Times New Roman"/>
      <w:snapToGrid w:val="0"/>
      <w:spacing w:val="-2"/>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4A5F03"/>
    <w:pPr>
      <w:spacing w:line="240" w:lineRule="exact"/>
    </w:pPr>
    <w:rPr>
      <w:rFonts w:ascii="Verdana" w:eastAsia="Times New Roman" w:hAnsi="Verdana" w:cs="Times New Roman"/>
      <w:sz w:val="20"/>
      <w:szCs w:val="20"/>
      <w:lang w:val="en-US"/>
    </w:rPr>
  </w:style>
  <w:style w:type="paragraph" w:styleId="stbilgi">
    <w:name w:val="header"/>
    <w:basedOn w:val="Normal"/>
    <w:link w:val="stbilgiChar"/>
    <w:uiPriority w:val="99"/>
    <w:unhideWhenUsed/>
    <w:rsid w:val="00394C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4CF5"/>
  </w:style>
  <w:style w:type="paragraph" w:styleId="Altbilgi">
    <w:name w:val="footer"/>
    <w:basedOn w:val="Normal"/>
    <w:link w:val="AltbilgiChar"/>
    <w:uiPriority w:val="99"/>
    <w:unhideWhenUsed/>
    <w:rsid w:val="00394C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4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4A5F03"/>
    <w:rPr>
      <w:rFonts w:ascii="Times New Roman" w:hAnsi="Times New Roman"/>
      <w:noProof w:val="0"/>
      <w:sz w:val="27"/>
      <w:vertAlign w:val="superscript"/>
      <w:lang w:val="en-US"/>
    </w:rPr>
  </w:style>
  <w:style w:type="paragraph" w:styleId="DipnotMetni">
    <w:name w:val="footnote text"/>
    <w:basedOn w:val="Normal"/>
    <w:link w:val="DipnotMetniChar"/>
    <w:semiHidden/>
    <w:rsid w:val="004A5F03"/>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rPr>
  </w:style>
  <w:style w:type="character" w:customStyle="1" w:styleId="DipnotMetniChar">
    <w:name w:val="Dipnot Metni Char"/>
    <w:basedOn w:val="VarsaylanParagrafYazTipi"/>
    <w:link w:val="DipnotMetni"/>
    <w:semiHidden/>
    <w:rsid w:val="004A5F03"/>
    <w:rPr>
      <w:rFonts w:ascii="Times New Roman" w:eastAsia="Times New Roman" w:hAnsi="Times New Roman" w:cs="Times New Roman"/>
      <w:snapToGrid w:val="0"/>
      <w:spacing w:val="-2"/>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4A5F03"/>
    <w:pPr>
      <w:spacing w:line="240" w:lineRule="exact"/>
    </w:pPr>
    <w:rPr>
      <w:rFonts w:ascii="Verdana" w:eastAsia="Times New Roman" w:hAnsi="Verdana" w:cs="Times New Roman"/>
      <w:sz w:val="20"/>
      <w:szCs w:val="20"/>
      <w:lang w:val="en-US"/>
    </w:rPr>
  </w:style>
  <w:style w:type="paragraph" w:styleId="stbilgi">
    <w:name w:val="header"/>
    <w:basedOn w:val="Normal"/>
    <w:link w:val="stbilgiChar"/>
    <w:uiPriority w:val="99"/>
    <w:unhideWhenUsed/>
    <w:rsid w:val="00394C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4CF5"/>
  </w:style>
  <w:style w:type="paragraph" w:styleId="Altbilgi">
    <w:name w:val="footer"/>
    <w:basedOn w:val="Normal"/>
    <w:link w:val="AltbilgiChar"/>
    <w:uiPriority w:val="99"/>
    <w:unhideWhenUsed/>
    <w:rsid w:val="00394C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Ali ATAK</cp:lastModifiedBy>
  <cp:revision>2</cp:revision>
  <cp:lastPrinted>2014-12-01T06:59:00Z</cp:lastPrinted>
  <dcterms:created xsi:type="dcterms:W3CDTF">2015-01-22T07:25:00Z</dcterms:created>
  <dcterms:modified xsi:type="dcterms:W3CDTF">2015-01-22T07:25:00Z</dcterms:modified>
</cp:coreProperties>
</file>